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867" w:rsidRPr="00AE0EF0" w:rsidRDefault="001921D6" w:rsidP="007E4DD8">
      <w:pPr>
        <w:widowControl w:val="0"/>
        <w:spacing w:after="120" w:line="240" w:lineRule="auto"/>
        <w:jc w:val="center"/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الحث على إقامة</w:t>
      </w:r>
      <w:r w:rsidR="00AE0EF0" w:rsidRPr="00AE0EF0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 الصلوات الخمس و</w:t>
      </w:r>
      <w:r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التحذير من </w:t>
      </w:r>
      <w:r w:rsidR="00AE0EF0" w:rsidRPr="00AE0EF0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التهاون بها</w:t>
      </w:r>
    </w:p>
    <w:p w:rsidR="00BC4C79" w:rsidRDefault="00AE0EF0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قال الله تعالى: </w:t>
      </w:r>
      <w:r w:rsidR="00BC4C79" w:rsidRPr="00BC4C79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{قُلْ لِعِبَادِيَ الَّذِينَ آمَنُوا يُقِيمُوا الصَّلَاةَ} [إبراهيم: 31]</w:t>
      </w:r>
      <w:r w:rsidR="00BC4C79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BC4C79" w:rsidRDefault="00BC4C79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وقال عز وجل واصفا عباده الصالحين: </w:t>
      </w:r>
      <w:r w:rsidRPr="00BC4C79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{الَّذِينَ هُمْ عَلَى صَلَاتِهِمْ دَائِمُونَ} [المعارج: 23]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، وقال ربنا سبحانه: </w:t>
      </w:r>
      <w:r w:rsidRPr="00BC4C79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{وَالَّذِينَ هُمْ عَلَى صَلَاتِهِمْ يُحَافِظُونَ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BC4C79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أُولَئِكَ فِي جَنَّاتٍ مُكْرَمُونَ} [المعارج: 34، 35]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AE0EF0" w:rsidRPr="00AE0EF0" w:rsidRDefault="00BC4C79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وقال تبارك وتعالى: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{فخل</w:t>
      </w:r>
      <w:r w:rsid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َ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َ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من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بعد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ِ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هم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خلْفٌ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أضاعوا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الصلاة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وات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َّ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بعوا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الشهوات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ِ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فسوف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يلق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َ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ون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غَيّا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إلا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من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تاب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وآمن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وع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َ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ِ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صالح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ً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فأولئك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يدخلون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الجنة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ولا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يُظلمون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شيئ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ً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ا} 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[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سورة مريم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59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="00AE0EF0"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60]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AE0EF0" w:rsidRPr="00AE0EF0" w:rsidRDefault="00AE0EF0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وقال</w:t>
      </w:r>
      <w:r w:rsidR="00BC4C79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الله العزيز الجبار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  <w:r w:rsidR="00BC4C79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متوعدا من يتهاون ببعض الصلوات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: 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{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فويلٌ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للمصلين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 الذين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هم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صلاتهم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ساهون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} [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سورة الماعون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4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5]</w:t>
      </w:r>
      <w:r w:rsid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أي: عذابٌ شديدٌ للذين يصلون بعض الصلوات ويتركون بعضها، ولا يحافظون على الصلوات الخمس في أوقاتها، ولا يطمئنون فيها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AE0EF0" w:rsidRPr="00AE0EF0" w:rsidRDefault="00AE0EF0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وعن بُريدة رضي الله عنه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قال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قال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رسول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الله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صلى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الله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عليه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وسلم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((العهد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الذي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بيننا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وبينهم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الصلاة،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فمن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تركها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فقد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كفر)) رواه الترمذي (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2621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) وصححه.</w:t>
      </w:r>
      <w:r w:rsid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</w:p>
    <w:p w:rsidR="00AE0EF0" w:rsidRPr="00AE0EF0" w:rsidRDefault="00AE0EF0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قال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ابن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القيم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"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لا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يختلف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المسلمون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ترك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الصلاة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المفروضة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عمدا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أعظم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الذنوب،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وأكبر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الكبائر،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وأن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إثمه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عند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الله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أعظم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إثم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قتل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النفس،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وأخذ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الأموال،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ومن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إثم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الزنا،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والسرقة،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وشرب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الخمر،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وأنه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متعرضٌ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لعقوبة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الله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وسخطه،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وخزيه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الدنيا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والآخرة</w:t>
      </w:r>
      <w:r w:rsid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"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  <w:r w:rsidR="0054071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((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الصلاة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وأحكام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تاركها</w:t>
      </w:r>
      <w:r w:rsidR="0054071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))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31).</w:t>
      </w:r>
    </w:p>
    <w:p w:rsidR="00AE0EF0" w:rsidRPr="00AE0EF0" w:rsidRDefault="00AE0EF0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قال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التابعي الجليل عبد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الله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شقيق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(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يكن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أصحاب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النبي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صلى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الله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عليه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وسلم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يرون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شيئا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من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الأعمال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تركه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كفر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غير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الصلاة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)</w:t>
      </w:r>
      <w:r w:rsidRPr="00AE0EF0">
        <w:rPr>
          <w:rFonts w:hint="cs"/>
          <w:sz w:val="32"/>
          <w:szCs w:val="32"/>
          <w:rtl/>
        </w:rPr>
        <w:t xml:space="preserve"> 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رواه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الترمذي (</w:t>
      </w:r>
      <w:r w:rsidRPr="00AE0EF0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2622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)</w:t>
      </w:r>
      <w:r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AE0EF0" w:rsidRDefault="00540713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7E4DD8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أخي المسلم .. أختي المسلمة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 الله خلقك لتعبده وتصلي له</w:t>
      </w:r>
      <w:r w:rsidR="00BC4C79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شكرا له على نِعَمه، ومحبة له وتعظيما،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لا ينفع في الإيمان التصديق 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بالله 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من غير عمل صالح، فإبليس حين ترك الامتثال لأمر الله بالسجود لآدم</w:t>
      </w:r>
      <w:r w:rsidR="00BC4C79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سجدة واحدة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لعنه الله وغضب عليه لتركه طاعته، مع تصديقه بالله، فما بالك بمن يترك السجود لله، ويصر على التهاون بإقام</w:t>
      </w:r>
      <w:r w:rsid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ة الصل</w:t>
      </w:r>
      <w:r w:rsid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وات الخمس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وهي عمود الإسلام؟!</w:t>
      </w:r>
    </w:p>
    <w:p w:rsidR="00BC4C79" w:rsidRDefault="00BC4C79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تذكَّرْ أيها العاقل كثرة 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ما أنعم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الله عليك</w:t>
      </w:r>
      <w:r w:rsidR="007E4DD8" w:rsidRP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من النعم 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الظاهرة والباطنة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، نعمة العقل والسمع والبصر، ونعمة الطعام والشراب والهواء، ونعمة الصحة وسلامة الأعضاء، تفكر في قلبك الذي ينبض بفضل الله عليك منذ كنت في بطن أمك، 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لولا</w:t>
      </w:r>
      <w:r w:rsidR="003E00FE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أن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الله</w:t>
      </w:r>
      <w:r w:rsidR="003E00FE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يرحمك ويمد في عمرك لسقطت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وما استطعت الحركة إلا بالله الذي خلقك</w:t>
      </w:r>
      <w:r w:rsidR="003E00FE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، تنام برحمة الله، وتستيقظ بفضل الله، </w:t>
      </w:r>
      <w:r w:rsid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وتبلع الطعام والشراب فيدخل إلى معدتك ولا يدخل إلى رئتيك بلطف الله، </w:t>
      </w:r>
      <w:r w:rsidR="003E00FE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فبادر إلى شكر الله بالصلاة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خوفا من عقابه وطمعا في ثوابه</w:t>
      </w:r>
      <w:r w:rsidR="003E00FE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 ولا تجحد ن</w:t>
      </w:r>
      <w:r w:rsidR="00A70B07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ِ</w:t>
      </w:r>
      <w:r w:rsidR="003E00FE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عم</w:t>
      </w:r>
      <w:r w:rsidR="007E4DD8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الله</w:t>
      </w:r>
      <w:r w:rsidR="003E00FE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عليك فتستعمل</w:t>
      </w:r>
      <w:r w:rsid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نعمته</w:t>
      </w:r>
      <w:r w:rsidR="003E00FE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في معصيته، وتغفل عن ذكره وشكره.</w:t>
      </w:r>
    </w:p>
    <w:p w:rsidR="003E00FE" w:rsidRDefault="003E00FE" w:rsidP="007E4DD8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lastRenderedPageBreak/>
        <w:t xml:space="preserve">{يَاأَيُّهَا الْإِنْسَانُ مَا غَرَّكَ بِرَبِّكَ الْكَرِيمِ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الَّذِي خَلَقَكَ فَسَوَّاكَ فَعَدَلَكَ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فِي أَيِّ صُورَةٍ مَا شَاءَ رَكَّبَكَ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كَلَّا بَلْ تُكَذِّبُونَ بِالدِّينِ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وَإِنَّ عَلَيْكُمْ لَحَافِظِينَ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كِرَامًا كَاتِبِينَ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يَعْلَمُونَ مَا تَفْعَلُونَ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إِنَّ الْأَبْرَارَ لَفِي نَعِيمٍ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وَإِنَّ الْفُجَّارَ لَفِي جَحِيمٍ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يَصْلَوْنَهَا يَوْمَ الدِّينِ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وَمَا هُمْ عَنْهَا بِغَائِبِينَ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وَمَا أَدْرَاكَ مَا يَوْمُ الدِّينِ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ثُمَّ مَا أَدْرَاكَ مَا يَوْمُ الدِّينِ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3E00FE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يَوْمَ لَا تَمْلِكُ نَفْسٌ لِنَفْسٍ شَيْئًا وَالْأَمْرُ يَوْمَئِذٍ لِلَّهِ} [الانفطار: 6 - 19]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BA32C0" w:rsidRDefault="007E4DD8" w:rsidP="004304CD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</w:pPr>
      <w:r w:rsidRPr="007E4DD8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أ</w:t>
      </w:r>
      <w:r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يها</w:t>
      </w:r>
      <w:r w:rsidRPr="007E4DD8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 المسلم .. </w:t>
      </w:r>
      <w:r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وأيتها</w:t>
      </w:r>
      <w:r w:rsidRPr="007E4DD8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 المسلمة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، </w:t>
      </w:r>
      <w:r w:rsid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أقبِل على القرآن الكريم وتدبر آياته، فهي رسائل الله إليك، وفيها سعادتك وصلاحك، و</w:t>
      </w:r>
      <w:r w:rsidR="00A70B07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احذر وساوس شي</w:t>
      </w:r>
      <w:r w:rsidR="005108C5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</w:t>
      </w:r>
      <w:r w:rsidR="00A70B07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ط</w:t>
      </w:r>
      <w:r w:rsidR="005108C5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</w:t>
      </w:r>
      <w:r w:rsidR="00A70B07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ن </w:t>
      </w:r>
      <w:r w:rsidR="005108C5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الإنس والجن </w:t>
      </w:r>
      <w:r w:rsidR="00A70B07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الذي</w:t>
      </w:r>
      <w:r w:rsidR="005108C5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ن</w:t>
      </w:r>
      <w:r w:rsidR="00A70B07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يزين</w:t>
      </w:r>
      <w:r w:rsidR="005108C5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ون</w:t>
      </w:r>
      <w:r w:rsidR="00A70B07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لك سوء عملك، وانه نفسك عن هواها، ولا تتبع الهوى </w:t>
      </w:r>
      <w:r w:rsidR="005108C5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فتهوى</w:t>
      </w:r>
      <w:r w:rsidR="00A70B07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، </w:t>
      </w:r>
      <w:r w:rsidR="002C1A4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ولا تبرر لنفسك </w:t>
      </w:r>
      <w:r w:rsidR="002C1A4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ترك الصلوات الخمس بالحجج الفاسدة، والخيالات الباطلة، </w:t>
      </w:r>
      <w:r w:rsidR="00A70B07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ولا تغتر بالدنيا الفانية، فالآخرة خير وأبقى لمن اتقى، والدنيا أمد، والآخرة أبد</w:t>
      </w:r>
      <w:r w:rsidR="002C1A4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 وعِش ما شئت فستلقى ربك</w:t>
      </w:r>
      <w:r w:rsid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، </w:t>
      </w:r>
      <w:r w:rsidR="005108C5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ويحاسبك على جميع أعمالك، والتوبة خير لك، والله يحب التوابين ويحب المتطهرين</w:t>
      </w:r>
      <w:r w:rsidR="00AE0EF0" w:rsidRPr="00AE0EF0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  <w:r w:rsidR="004304CD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 </w:t>
      </w:r>
      <w:r w:rsidR="005108C5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 </w:t>
      </w:r>
    </w:p>
    <w:p w:rsidR="004304CD" w:rsidRPr="004304CD" w:rsidRDefault="004304CD" w:rsidP="004304CD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اللهم اغفر لنا ذنوبنا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 وارحمنا في حياتنا وبعد موتنا</w:t>
      </w:r>
      <w:r w:rsidRP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 وحب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ِّ</w:t>
      </w:r>
      <w:r w:rsidRP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ب إلينا الإيمان وزينه في قلوبنا، وكرِّه إلينا الكفر والفسوق والعصيان، واجعلنا 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من </w:t>
      </w:r>
      <w:r w:rsidRP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الذين يستمعون القول فيتبعون أحسنه</w:t>
      </w:r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، </w:t>
      </w:r>
      <w:r w:rsidR="002858E9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واهدنا الصراط المستقيم، </w:t>
      </w:r>
      <w:bookmarkStart w:id="0" w:name="_GoBack"/>
      <w:bookmarkEnd w:id="0"/>
      <w:r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وأدخلنا برحمتك في عبادك الصالحين</w:t>
      </w:r>
      <w:r w:rsidRPr="004304CD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1C5C26" w:rsidRPr="00AE0EF0" w:rsidRDefault="001C5C26" w:rsidP="007E4DD8">
      <w:pPr>
        <w:jc w:val="lowKashida"/>
        <w:rPr>
          <w:sz w:val="32"/>
          <w:szCs w:val="32"/>
          <w:lang w:bidi="ar-EG"/>
        </w:rPr>
      </w:pPr>
    </w:p>
    <w:sectPr w:rsidR="001C5C26" w:rsidRPr="00AE0EF0" w:rsidSect="008362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DC7"/>
    <w:rsid w:val="001921D6"/>
    <w:rsid w:val="001C5C26"/>
    <w:rsid w:val="001E6DC7"/>
    <w:rsid w:val="002858E9"/>
    <w:rsid w:val="002C1A40"/>
    <w:rsid w:val="003E00FE"/>
    <w:rsid w:val="004304CD"/>
    <w:rsid w:val="005108C5"/>
    <w:rsid w:val="00540713"/>
    <w:rsid w:val="00556867"/>
    <w:rsid w:val="00695F02"/>
    <w:rsid w:val="007E4DD8"/>
    <w:rsid w:val="008362D4"/>
    <w:rsid w:val="00A70B07"/>
    <w:rsid w:val="00AE0EF0"/>
    <w:rsid w:val="00BA32C0"/>
    <w:rsid w:val="00BC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FF506A"/>
  <w15:docId w15:val="{DC2C684E-E79E-42E0-8D0E-F33F96F9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2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محمد بن علي بن جميل المطري</cp:lastModifiedBy>
  <cp:revision>11</cp:revision>
  <dcterms:created xsi:type="dcterms:W3CDTF">2017-02-14T14:33:00Z</dcterms:created>
  <dcterms:modified xsi:type="dcterms:W3CDTF">2023-06-08T08:38:00Z</dcterms:modified>
</cp:coreProperties>
</file>